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default" w:ascii="Times New Roman" w:hAnsi="Times New Roman" w:cs="Times New Roman"/>
          <w:b w:val="0"/>
        </w:rPr>
      </w:pPr>
      <w:bookmarkStart w:id="0" w:name="_Toc12122"/>
      <w:bookmarkStart w:id="1" w:name="_Toc18565"/>
      <w:r>
        <w:rPr>
          <w:rFonts w:hint="default" w:ascii="Times New Roman" w:hAnsi="Times New Roman" w:cs="Times New Roman"/>
          <w:b w:val="0"/>
        </w:rPr>
        <w:t>湖南弘慧教育发展基金会2020年度工作总结及2021年度</w:t>
      </w:r>
      <w:r>
        <w:rPr>
          <w:rFonts w:hint="default" w:ascii="Times New Roman" w:hAnsi="Times New Roman" w:cs="Times New Roman"/>
          <w:b w:val="0"/>
          <w:lang w:val="en-US" w:eastAsia="zh-CN"/>
        </w:rPr>
        <w:t>战略规划</w:t>
      </w:r>
      <w:bookmarkEnd w:id="0"/>
      <w:bookmarkEnd w:id="1"/>
    </w:p>
    <w:p>
      <w:pPr>
        <w:pageBreakBefore w:val="0"/>
        <w:widowControl w:val="0"/>
        <w:kinsoku/>
        <w:wordWrap/>
        <w:overflowPunct/>
        <w:topLinePunct w:val="0"/>
        <w:autoSpaceDE/>
        <w:autoSpaceDN/>
        <w:bidi w:val="0"/>
        <w:adjustRightInd/>
        <w:snapToGrid/>
        <w:spacing w:line="579" w:lineRule="exact"/>
        <w:ind w:firstLine="640"/>
        <w:textAlignment w:val="auto"/>
        <w:rPr>
          <w:rFonts w:hint="default" w:ascii="Times New Roman" w:hAnsi="Times New Roman" w:eastAsia="黑体" w:cs="Times New Roman"/>
          <w:sz w:val="32"/>
          <w:szCs w:val="32"/>
        </w:rPr>
      </w:pPr>
    </w:p>
    <w:p>
      <w:pPr>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2020年，弘慧继续保持了过往12年来的发展速度，年度捐赠收入和公益支出稳步增长，全职团队及志愿者进一步壮大，业务结构得到优化，各项目模块服务对象、成效及影响均有所提升。</w:t>
      </w:r>
    </w:p>
    <w:p>
      <w:pPr>
        <w:pageBreakBefore w:val="0"/>
        <w:widowControl w:val="0"/>
        <w:kinsoku/>
        <w:wordWrap/>
        <w:overflowPunct/>
        <w:topLinePunct w:val="0"/>
        <w:autoSpaceDE/>
        <w:autoSpaceDN/>
        <w:bidi w:val="0"/>
        <w:adjustRightInd/>
        <w:snapToGrid/>
        <w:spacing w:line="579" w:lineRule="exact"/>
        <w:ind w:firstLine="64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一、2020年度工作情况</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 w:cs="Times New Roman"/>
          <w:b/>
          <w:bCs/>
          <w:sz w:val="32"/>
          <w:szCs w:val="32"/>
        </w:rPr>
        <w:t>（一）超额完成筹款目标，不断夯实资金基础。</w:t>
      </w:r>
      <w:r>
        <w:rPr>
          <w:rFonts w:hint="default" w:ascii="Times New Roman" w:hAnsi="Times New Roman" w:eastAsia="仿宋_GB2312" w:cs="Times New Roman"/>
          <w:sz w:val="32"/>
          <w:szCs w:val="32"/>
          <w:lang w:val="en-US" w:eastAsia="zh-CN"/>
        </w:rPr>
        <w:t>2020年，弘慧在面临新冠肺炎疫情的挑战下，总收入达2713.95万元，实现较上年总收入2443.28万元11.08%的增长。</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1.接收捐赠情况。</w:t>
      </w:r>
      <w:r>
        <w:rPr>
          <w:rFonts w:hint="default" w:ascii="Times New Roman" w:hAnsi="Times New Roman" w:eastAsia="仿宋_GB2312" w:cs="Times New Roman"/>
          <w:sz w:val="32"/>
          <w:szCs w:val="32"/>
          <w:lang w:val="en-US" w:eastAsia="zh-CN"/>
        </w:rPr>
        <w:t>2020年，弘慧捐赠收入共2462.13万元，超额完成2020年度筹款目标2000万元的23.11%，较去年2205.44万元捐赠收入增长11.64%。2020年捐赠收入按收入类别分，线下筹款约1769.16万元，线上筹款约671.69万元，实物捐赠收入约21.28万元；按捐赠来源分，理事、监事、理事单位捐赠约1999.18万元（占大额捐赠比例为48%），公众筹款金额约415.95万元（近三年金额逐年上升），其他企业及个人小额捐赠约47万元。</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2.开展筹款工作情况。线下筹款部分，</w:t>
      </w:r>
      <w:r>
        <w:rPr>
          <w:rFonts w:hint="default" w:ascii="Times New Roman" w:hAnsi="Times New Roman" w:eastAsia="仿宋_GB2312" w:cs="Times New Roman"/>
          <w:sz w:val="32"/>
          <w:szCs w:val="32"/>
          <w:lang w:val="en-US" w:eastAsia="zh-CN"/>
        </w:rPr>
        <w:t>2020年弘慧12周年慧话慈善之夜在北京开展，共有222人（其中新捐赠人107人）参与活动、104人（或所代表的企业）捐赠，活动总筹款额度：472.82万元。此外，2020年度，基金会线下捐赠项目推荐中，定向推动了12所筑梦奖学金公益项目寻找到捐赠人，其中新增2个乡村训练营的定向捐赠方；有4家企业及个人因企业政策调整或个人意愿等原因暂停了对弘慧基金会的长期捐赠，以及2家企业及个人因为机构和个人发展需求，相关资金的捐赠主体，由基金会直接转向到其他群体中。</w:t>
      </w:r>
      <w:r>
        <w:rPr>
          <w:rFonts w:hint="default" w:ascii="Times New Roman" w:hAnsi="Times New Roman" w:eastAsia="仿宋_GB2312" w:cs="Times New Roman"/>
          <w:b/>
          <w:bCs/>
          <w:sz w:val="32"/>
          <w:szCs w:val="32"/>
          <w:lang w:val="en-US" w:eastAsia="zh-CN"/>
        </w:rPr>
        <w:t>线上筹款部分，</w:t>
      </w:r>
      <w:r>
        <w:rPr>
          <w:rFonts w:hint="default" w:ascii="Times New Roman" w:hAnsi="Times New Roman" w:eastAsia="仿宋_GB2312" w:cs="Times New Roman"/>
          <w:sz w:val="32"/>
          <w:szCs w:val="32"/>
          <w:lang w:val="en-US" w:eastAsia="zh-CN"/>
        </w:rPr>
        <w:t>2020年，弘慧基金会通过与儿慈会和扶贫两个公募基金会合作，共运营腾讯公益、淘宝公益店、新华网公益（月捐）和支付宝公益四个平台，各平台年度筹款合计443.87万元。其中支付宝平台的上线标志着基金会在核心三大筹款平台初步完成布局；99公益日活动中，从捐赠人到学生、教师，各方参与支持度高，圆满完成了筹款目标</w:t>
      </w:r>
      <w:r>
        <w:rPr>
          <w:rFonts w:hint="eastAsia" w:ascii="Times New Roman" w:hAnsi="Times New Roman" w:eastAsia="仿宋_GB2312" w:cs="Times New Roman"/>
          <w:sz w:val="32"/>
          <w:szCs w:val="32"/>
          <w:lang w:val="en-US" w:eastAsia="zh-CN"/>
        </w:rPr>
        <w:t>。</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3.捐赠人服务情况。</w:t>
      </w:r>
      <w:r>
        <w:rPr>
          <w:rFonts w:hint="default" w:ascii="Times New Roman" w:hAnsi="Times New Roman" w:eastAsia="仿宋_GB2312" w:cs="Times New Roman"/>
          <w:sz w:val="32"/>
          <w:szCs w:val="32"/>
          <w:lang w:val="en-US" w:eastAsia="zh-CN"/>
        </w:rPr>
        <w:t>主</w:t>
      </w:r>
      <w:bookmarkStart w:id="2" w:name="_GoBack"/>
      <w:bookmarkEnd w:id="2"/>
      <w:r>
        <w:rPr>
          <w:rFonts w:hint="default" w:ascii="Times New Roman" w:hAnsi="Times New Roman" w:eastAsia="仿宋_GB2312" w:cs="Times New Roman"/>
          <w:sz w:val="32"/>
          <w:szCs w:val="32"/>
          <w:lang w:val="en-US" w:eastAsia="zh-CN"/>
        </w:rPr>
        <w:t>要通过定向捐赠项目反馈、捐赠人日常维护、慧行走访等形式开展捐赠人服务。其中，2020年度发送了所有定向捐赠方的奖助学金年度运行报告42份；结合每个项目的开展情况，不定期给对应捐赠方提供项目动态，让捐赠人及时了解项目的运行情况，并完成了40个项目的到账跟进工作。结合乡村孩子成长营地和奖助学金走访工作，2020年度慧行活动广泛邀请了弘慧捐赠人以个人和团队的方式参与，让大家在身体力行中，感受快乐公益，也让更多的志愿者和捐赠人感受到公益的价值。</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 w:cs="Times New Roman"/>
          <w:b/>
          <w:bCs/>
          <w:sz w:val="32"/>
          <w:szCs w:val="32"/>
        </w:rPr>
        <w:t>（二）坚定扎根乡村教育，不断优化业务结构。</w:t>
      </w:r>
      <w:r>
        <w:rPr>
          <w:rFonts w:hint="default" w:ascii="Times New Roman" w:hAnsi="Times New Roman" w:eastAsia="仿宋_GB2312" w:cs="Times New Roman"/>
          <w:sz w:val="32"/>
          <w:szCs w:val="32"/>
          <w:lang w:val="en-US" w:eastAsia="zh-CN"/>
        </w:rPr>
        <w:t>2020年，弘慧业务活动总支出1770.07万元，较上年总支出1611.38万元增长9.85%。业务结构在当年得到优化、发展，具体如下：</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1.筑梦计划——做乡村孩子的陪伴者。</w:t>
      </w:r>
      <w:r>
        <w:rPr>
          <w:rFonts w:hint="default" w:ascii="Times New Roman" w:hAnsi="Times New Roman" w:eastAsia="仿宋_GB2312" w:cs="Times New Roman"/>
          <w:sz w:val="32"/>
          <w:szCs w:val="32"/>
          <w:lang w:val="en-US" w:eastAsia="zh-CN"/>
        </w:rPr>
        <w:t>截至2020年底，筑梦计划长期合作13个县123所学校，已经陪伴资助了4470余名乡村孩子；累计1557位乡村孩子圆梦大学，513位已大学毕业；累计举办69场乡村孩子的成长营地，共有5547人次乡村孩子参加；共有158位筑梦本地陪伴者，累计提供38542.2小时志愿服务。2020年度，筑梦奖助学金项目共资助中小学生2500人，合计发放奖助学金554.86万元；第一届思佳奖学金项目共资助25位本科及以上大学生，资助总额10万元；英才圆梦项目资助9位弘慧大学生，资助金额8.4万元；筑梦辅导员开展陪伴活动400余场，走访1146位学生家庭，共提供17622.5小时志愿服务时间；开展面向11个县域筑梦中心筑梦辅导员的培训交流会，超过500人次参加；设立弘慧班22个，通过挚友迷你营及各类班级活动等，共服务1050位弘慧班学子； 弘慧学子联合会在全国各地分布有51个弘慧之家，共有在读大学生1042位；星火计划组建56支星火团队，473人次大学生志愿者参与，陪伴1275名学生，乡村训练营累计开展21场营地活动，2381位学生参与；在3个学校共开展3场挚友夏令营，48位志愿者参与，服务294位学生；开展1场次公益成长营，19位志愿者参与，陪伴89位来自湖南的弘慧高三学子。</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2.乡村好校长计划——做乡村校长的同行者。</w:t>
      </w:r>
      <w:r>
        <w:rPr>
          <w:rFonts w:hint="default" w:ascii="Times New Roman" w:hAnsi="Times New Roman" w:eastAsia="仿宋_GB2312" w:cs="Times New Roman"/>
          <w:sz w:val="32"/>
          <w:szCs w:val="32"/>
          <w:lang w:val="en-US" w:eastAsia="zh-CN"/>
        </w:rPr>
        <w:t>乡村好校长计划在湖南、山西、四川三省17个县域展开项目运作，开展了22次校长培训活动，建立并运营5个乡村校长学习社群，支持1个乡村好校长自组织发展，支持2所乡村学校寻找适合自身好学校的发展模型。本年度累计服务乡村校长1851人次，间接服务2万余名乡村孩子。其中，湖南乡村好校长计划年度支出69.43万元，开展第二届乡村好校长评选、表彰奖励、宣传推广和培训等活动；乡村好校长联盟支出2.18万元，开展自组织年会、交流等活动；县域乡村好校长成长项目支出41.04万元，对四川九寨沟县、马边县及湖南省沅陵县、山西省隰县共534名校长、老师开展培训、交流活动；书香校园项目支出8.89万元，支持2所学校在“以阅读为支点创设乡村好学校”的路径上持续探索耕耘，约1124人受益。</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3.乡村好老师计划——做乡村老师的引路人。</w:t>
      </w:r>
      <w:r>
        <w:rPr>
          <w:rFonts w:hint="default" w:ascii="Times New Roman" w:hAnsi="Times New Roman" w:eastAsia="仿宋_GB2312" w:cs="Times New Roman"/>
          <w:sz w:val="32"/>
          <w:szCs w:val="32"/>
          <w:lang w:val="en-US" w:eastAsia="zh-CN"/>
        </w:rPr>
        <w:t>在湖南、河南两省9县开展项目运作。2020年度共奖励105名乡村好老师，支持4位行知实验主持人开展行知教育实践，组织34名乡村教师开展线上行知主题分享8次，累计1324人次参与；发起、支持一支县域教师阅读自组织——嫩芽读书社，组织自发开展阅读分享12次，发展核心会员68人；在官庄镇开展教育助力计划，表彰90名官庄镇优秀教师，举办第二届公益年会。全年直接培训乡村教师467人次，深度链接乡村教师220余人，简介服务1.8万余名儿童。</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4.致远计划——做乡村课堂创变的试验田。</w:t>
      </w:r>
      <w:r>
        <w:rPr>
          <w:rFonts w:hint="default" w:ascii="Times New Roman" w:hAnsi="Times New Roman" w:eastAsia="仿宋_GB2312" w:cs="Times New Roman"/>
          <w:sz w:val="32"/>
          <w:szCs w:val="32"/>
          <w:lang w:val="en-US" w:eastAsia="zh-CN"/>
        </w:rPr>
        <w:t>2020年度，联合北京音画梦想社会工作事务所探索一套提升乡村艺术教育质量方案，在沅陵县和平江县的11所学校49个班级开展音乐、美术等美育课程，受益学生2633名，共支出24.14万元；联合广州一公斤盒子发起“弘慧—乡村孩子生活家”项目，支持沅陵县和平江县25所乡村学校41位老师，为1696名学生带去了168节生活课程，共支出2.15万元；联合北京慈弘慈善基金会开展“悦读成长计划”项目，系统地解决乡村儿童的阅读问题，平江县钟洞学区24所学校150个班级参与项目，受益学生4262人，共支出15万元；致远计划还在蓝山县楠市中心小学，通过“瑶家刺绣”“瑶族长鼓舞”“楠市手工面条制作工艺”等课程，为1280名小学生土工乡土文化课程学习，共支出12万元。</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5.慧智计划——做乡村本地教育公益力量的孵化器。</w:t>
      </w:r>
      <w:r>
        <w:rPr>
          <w:rFonts w:hint="default" w:ascii="Times New Roman" w:hAnsi="Times New Roman" w:eastAsia="仿宋_GB2312" w:cs="Times New Roman"/>
          <w:sz w:val="32"/>
          <w:szCs w:val="32"/>
          <w:lang w:val="en-US" w:eastAsia="zh-CN"/>
        </w:rPr>
        <w:t>在新冠肺炎疫情爆发初期即推出了在线网络课程，超过50万人次参与该专项活动；疫情期间还为10个项目县域送去口罩20万个；参与发起并执行“为困境学子送平板电脑”项目，为全国1800名困境学子送去平板电脑和上网卡，项目获得了凤凰网公益盛典2020年度特别贡献奖；以“致敬时光 拥抱未来”为主题，开展2020年陪伴者年会，来自10个合作县域的240余名辅导员、项目老师、县教育部门、县公益团体代表以及近50名志愿者、捐赠人、公益同行等人士参加活动交流与分享。</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 w:cs="Times New Roman"/>
          <w:b/>
          <w:bCs/>
          <w:sz w:val="32"/>
          <w:szCs w:val="32"/>
        </w:rPr>
        <w:t>（</w:t>
      </w:r>
      <w:r>
        <w:rPr>
          <w:rFonts w:hint="default" w:ascii="Times New Roman" w:hAnsi="Times New Roman" w:eastAsia="楷体" w:cs="Times New Roman"/>
          <w:b/>
          <w:bCs/>
          <w:sz w:val="32"/>
          <w:szCs w:val="32"/>
          <w:lang w:val="en-US" w:eastAsia="zh-CN"/>
        </w:rPr>
        <w:t>三</w:t>
      </w:r>
      <w:r>
        <w:rPr>
          <w:rFonts w:hint="default" w:ascii="Times New Roman" w:hAnsi="Times New Roman" w:eastAsia="楷体" w:cs="Times New Roman"/>
          <w:b/>
          <w:bCs/>
          <w:sz w:val="32"/>
          <w:szCs w:val="32"/>
        </w:rPr>
        <w:t>）</w:t>
      </w:r>
      <w:r>
        <w:rPr>
          <w:rFonts w:hint="default" w:ascii="Times New Roman" w:hAnsi="Times New Roman" w:eastAsia="楷体" w:cs="Times New Roman"/>
          <w:b/>
          <w:bCs/>
          <w:sz w:val="32"/>
          <w:szCs w:val="32"/>
          <w:lang w:val="en-US" w:eastAsia="zh-CN"/>
        </w:rPr>
        <w:t>转型升级行动研究，不断赋能乡村教育。</w:t>
      </w:r>
      <w:r>
        <w:rPr>
          <w:rFonts w:hint="default" w:ascii="Times New Roman" w:hAnsi="Times New Roman" w:eastAsia="仿宋_GB2312" w:cs="Times New Roman"/>
          <w:sz w:val="32"/>
          <w:szCs w:val="32"/>
          <w:lang w:val="en-US" w:eastAsia="zh-CN"/>
        </w:rPr>
        <w:t>2020年，弘慧发起成立了乡村教育研究中心，组织多位导师和教育公益伙伴参与弘慧基金会相关公益活动，深入探讨乡村教育的问题并寻找出路。</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1.明确乡村教育研究中心定位。</w:t>
      </w:r>
      <w:r>
        <w:rPr>
          <w:rFonts w:hint="default" w:ascii="Times New Roman" w:hAnsi="Times New Roman" w:eastAsia="仿宋_GB2312" w:cs="Times New Roman"/>
          <w:sz w:val="32"/>
          <w:szCs w:val="32"/>
          <w:lang w:val="en-US" w:eastAsia="zh-CN"/>
        </w:rPr>
        <w:t>乡村教育研究中心以“做适合乡村孩子的教育”为核心研究目标，以民办非营利性组织为核心团队，以教育公益内外民间力量为核心研究力量，以共同推动乡村教育创新与发展为核心追求，关注、探讨乡村教育的问题，梳理优化弘慧公益项目、提炼弘慧教育理念、输出弘慧公益项目产品。</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2.组建乡村教育研究中心核心团队。</w:t>
      </w:r>
      <w:r>
        <w:rPr>
          <w:rFonts w:hint="default" w:ascii="Times New Roman" w:hAnsi="Times New Roman" w:eastAsia="仿宋_GB2312" w:cs="Times New Roman"/>
          <w:sz w:val="32"/>
          <w:szCs w:val="32"/>
          <w:lang w:val="en-US" w:eastAsia="zh-CN"/>
        </w:rPr>
        <w:t>核心团队包括乡村教育研究中心导师、教育专家委员会。其中，导师团队由黄丽君、张帆、黄泽湘、赵雄辉、赵腾达、李臻、刘勇武、杜守正、孙明霞、舒绍林、朱建人等11名专家组成；教育专家委员会由朱旭东、杨瑞清、刘铁芳、傅丹灵、朱雯、卢志文等6名专家组成。</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3.开展研究实践活动。</w:t>
      </w:r>
      <w:r>
        <w:rPr>
          <w:rFonts w:hint="default" w:ascii="Times New Roman" w:hAnsi="Times New Roman" w:eastAsia="仿宋_GB2312" w:cs="Times New Roman"/>
          <w:sz w:val="32"/>
          <w:szCs w:val="32"/>
          <w:lang w:val="en-US" w:eastAsia="zh-CN"/>
        </w:rPr>
        <w:t>在湖南沅陵、溆浦、茶陵、新邵、汝城、宁乡、株洲、涟源、安化、长沙、四川乐山马边、九寨沟、山东曲阜、山东蒙阴、北京等地开展了22场讲座、25所乡村学校走访调研、5场“做适合乡村孩子的教育”研讨会，深入探讨乡村教育的问题，赋能乡村教育公益事业。</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 w:cs="Times New Roman"/>
          <w:b/>
          <w:bCs/>
          <w:color w:val="auto"/>
          <w:sz w:val="32"/>
          <w:szCs w:val="32"/>
        </w:rPr>
        <w:t>（</w:t>
      </w:r>
      <w:r>
        <w:rPr>
          <w:rFonts w:hint="default" w:ascii="Times New Roman" w:hAnsi="Times New Roman" w:eastAsia="楷体" w:cs="Times New Roman"/>
          <w:b/>
          <w:bCs/>
          <w:color w:val="auto"/>
          <w:sz w:val="32"/>
          <w:szCs w:val="32"/>
          <w:lang w:val="en-US" w:eastAsia="zh-CN"/>
        </w:rPr>
        <w:t>四</w:t>
      </w:r>
      <w:r>
        <w:rPr>
          <w:rFonts w:hint="default" w:ascii="Times New Roman" w:hAnsi="Times New Roman" w:eastAsia="楷体" w:cs="Times New Roman"/>
          <w:b/>
          <w:bCs/>
          <w:color w:val="auto"/>
          <w:sz w:val="32"/>
          <w:szCs w:val="32"/>
        </w:rPr>
        <w:t>）广泛联结社会资源，不断壮大公益力量。</w:t>
      </w:r>
      <w:r>
        <w:rPr>
          <w:rFonts w:hint="default" w:ascii="Times New Roman" w:hAnsi="Times New Roman" w:eastAsia="仿宋_GB2312" w:cs="Times New Roman"/>
          <w:sz w:val="32"/>
          <w:szCs w:val="32"/>
          <w:lang w:val="en-US" w:eastAsia="zh-CN"/>
        </w:rPr>
        <w:t>2020年，弘慧秘书处人员发展至23人，组建并打造了一支敢想敢干，敢破敢立，敢打敢拼的公益团队。全年共得到1716人的志愿服务，志愿服务时间超110717小时。此外，弘慧还广泛动员社会力量深度探索适合乡村孩子的教育，把县域作为一个整体看待，关注乡村教育的所有关联方，推动教育局、教育者、被教育者和本地的社会力量共同服务于本地的教育发展。</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1.全职团队。</w:t>
      </w:r>
      <w:r>
        <w:rPr>
          <w:rFonts w:hint="default" w:ascii="Times New Roman" w:hAnsi="Times New Roman" w:eastAsia="仿宋_GB2312" w:cs="Times New Roman"/>
          <w:sz w:val="32"/>
          <w:szCs w:val="32"/>
          <w:lang w:val="en-US" w:eastAsia="zh-CN"/>
        </w:rPr>
        <w:t>2020年，弘慧秘书处逐渐发展为以理事会为指导、秘书长负责制的基金会日常运行团队。秘书处下设运营中心、项目中心，乡村教育研究中心3个业务部门。秘书处积极应对超30%离职率的挑战，工作团队现发展至23人。其中，专职秘书长1人，运营中心团队9人（其中2人为兼职），项目中心团队14人（其中1人为见习生），乡村教育研究中心团队1人，并逐渐打造为一支敢想敢干、敢破敢立、敢打敢拼的工作团队。</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2.身体力行（志愿服务）。</w:t>
      </w:r>
      <w:r>
        <w:rPr>
          <w:rFonts w:hint="default" w:ascii="Times New Roman" w:hAnsi="Times New Roman" w:eastAsia="仿宋_GB2312" w:cs="Times New Roman"/>
          <w:sz w:val="32"/>
          <w:szCs w:val="32"/>
          <w:lang w:val="en-US" w:eastAsia="zh-CN"/>
        </w:rPr>
        <w:t>弘慧基金会把不领取任何报酬且志愿贡献个人的时间及精力的团体及个人的公益行为，称为“身体力行”。2020年，有近1716名志愿者为弘慧提供了110717小时的志愿服务时间。志愿者服务弘慧的公益活动包括：夏令营、慧行、星火、青年社、高三毕业典礼、陪伴者年会、慧话活动、平板项目等。</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楷体" w:cs="Times New Roman"/>
          <w:b/>
          <w:bCs/>
          <w:sz w:val="32"/>
          <w:szCs w:val="32"/>
        </w:rPr>
        <w:t>（</w:t>
      </w:r>
      <w:r>
        <w:rPr>
          <w:rFonts w:hint="default" w:ascii="Times New Roman" w:hAnsi="Times New Roman" w:eastAsia="楷体" w:cs="Times New Roman"/>
          <w:b/>
          <w:bCs/>
          <w:sz w:val="32"/>
          <w:szCs w:val="32"/>
          <w:lang w:val="en-US" w:eastAsia="zh-CN"/>
        </w:rPr>
        <w:t>五</w:t>
      </w:r>
      <w:r>
        <w:rPr>
          <w:rFonts w:hint="default" w:ascii="Times New Roman" w:hAnsi="Times New Roman" w:eastAsia="楷体" w:cs="Times New Roman"/>
          <w:b/>
          <w:bCs/>
          <w:sz w:val="32"/>
          <w:szCs w:val="32"/>
        </w:rPr>
        <w:t>）打造教育公益品牌，不断提升行业影响。</w:t>
      </w:r>
      <w:r>
        <w:rPr>
          <w:rFonts w:hint="default" w:ascii="Times New Roman" w:hAnsi="Times New Roman" w:eastAsia="仿宋_GB2312" w:cs="Times New Roman"/>
          <w:sz w:val="32"/>
          <w:szCs w:val="32"/>
          <w:lang w:val="en-US" w:eastAsia="zh-CN"/>
        </w:rPr>
        <w:t>2020年，弘慧基金会弘慧持续通过官方网站、微信公众号和腾讯视频号等阵地，联合新闻媒体、新浪微博等平台，致力持续提升公益探索与实践对乡村教育发展的影响，以及通过举办慈善晚会，参加腾讯99公益日，组织春秋慧行等活动，倡导尽我所能参与公益，身体力行，传递爱心。</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1.弘慧12周年慧话慈善之夜。</w:t>
      </w:r>
      <w:r>
        <w:rPr>
          <w:rFonts w:hint="default" w:ascii="Times New Roman" w:hAnsi="Times New Roman" w:eastAsia="仿宋_GB2312" w:cs="Times New Roman"/>
          <w:sz w:val="32"/>
          <w:szCs w:val="32"/>
          <w:lang w:val="en-US" w:eastAsia="zh-CN"/>
        </w:rPr>
        <w:t>10月17日，慧话活动在北京举行。清华大学工业研究院院长金勤献、基金会所有理事、监事，及乡村老师、校长、弘慧大学生代表与各界爱心人士共200余人参加了活动。通过弘慧12周年展、弘慧义卖、弘慧邮局等环节，让嘉宾们现场了解了基金会公益项目及其带给乡村师生的改变，同时让更多关心乡村孩子教育的人士参与进来，携手共促乡村教育领域的创新和发展。</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2.腾讯99公益日。</w:t>
      </w:r>
      <w:r>
        <w:rPr>
          <w:rFonts w:hint="default" w:ascii="Times New Roman" w:hAnsi="Times New Roman" w:eastAsia="仿宋_GB2312" w:cs="Times New Roman"/>
          <w:sz w:val="32"/>
          <w:szCs w:val="32"/>
          <w:lang w:val="en-US" w:eastAsia="zh-CN"/>
        </w:rPr>
        <w:t>2020年9月7日至9日，弘慧基金会两个线上筹款项目——弘慧困境学子筑梦计划和弘慧乡村好校长计划，共筹款157.47万元，其中腾讯配捐25.25万元，江苏卓胜微电子股份有限公司配捐30万元。汇聚爱心力量，让乡村教育被更多人看见，也有了更多的可能。</w:t>
      </w:r>
    </w:p>
    <w:p>
      <w:pPr>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lang w:val="en-US" w:eastAsia="zh-CN"/>
        </w:rPr>
        <w:t>3.乡村慧行陪伴项目。</w:t>
      </w:r>
      <w:r>
        <w:rPr>
          <w:rFonts w:hint="default" w:ascii="Times New Roman" w:hAnsi="Times New Roman" w:eastAsia="仿宋_GB2312" w:cs="Times New Roman"/>
          <w:sz w:val="32"/>
          <w:szCs w:val="32"/>
          <w:lang w:val="en-US" w:eastAsia="zh-CN"/>
        </w:rPr>
        <w:t>2020年，共有90多位理事、志愿者参与123所学校慧行走访，与2500名弘慧学子、279名辅导员及校长进行了座谈，了解乡村教育现状，给孩子们带去陪伴和鼓励。</w:t>
      </w:r>
    </w:p>
    <w:p>
      <w:pPr>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4.2020年，弘慧微信公众号共发布26篇推文，平均阅读量2505；腾讯视频号发布2个小视频，总观看量2.3万；在凤凰新闻、红网、潇湘晨报、澎湃新闻、今日头条、怀化新闻网等新闻媒体刊载报道73篇；在华声新浪官微创立#弘慧书院#话题，阅读量达1.1万，其中#乡村好校长#话题，阅读量达6万。典型案例有：通过凤凰网公益和弘慧微信公众号持续发布“为网课困难学生送平板电脑”项目消息类、故事类报道7篇，阅读量超4万；在红网、凤凰网、潇湘晨报、澎湃新闻等媒体发布“县域乡村好校长颁奖仪式”相关报道近50篇；“弘慧乡村教育研究中心成立”相关报道覆盖省级及市级10余家媒体，其中华声在线微信公众号及新浪微博联动报道《做乡村教育者的同路人 弘慧乡村教育研究中心挂牌成立》阅读量2251。</w:t>
      </w:r>
    </w:p>
    <w:p>
      <w:pPr>
        <w:spacing w:line="579" w:lineRule="exact"/>
        <w:ind w:firstLine="640" w:firstLineChars="200"/>
        <w:jc w:val="left"/>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rPr>
        <w:t>二、2021年度</w:t>
      </w:r>
      <w:r>
        <w:rPr>
          <w:rFonts w:hint="default" w:ascii="Times New Roman" w:hAnsi="Times New Roman" w:eastAsia="黑体" w:cs="Times New Roman"/>
          <w:sz w:val="32"/>
          <w:szCs w:val="32"/>
          <w:lang w:val="en-US" w:eastAsia="zh-CN"/>
        </w:rPr>
        <w:t>战略规划</w:t>
      </w:r>
    </w:p>
    <w:p>
      <w:pPr>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2021年，弘慧战略目标是：优化、升级基金会管理、项目、捐赠人服务体系、志愿者管理和服务体系，打造有影响力的现代公益团队，为可持续发展奠定基础。重点落实以下关键事项：</w:t>
      </w:r>
    </w:p>
    <w:p>
      <w:pPr>
        <w:spacing w:line="579" w:lineRule="exact"/>
        <w:ind w:firstLine="643" w:firstLineChars="200"/>
        <w:jc w:val="left"/>
        <w:rPr>
          <w:rFonts w:hint="default" w:ascii="Times New Roman" w:hAnsi="Times New Roman" w:eastAsia="仿宋_GB2312" w:cs="Times New Roman"/>
          <w:sz w:val="32"/>
          <w:szCs w:val="32"/>
          <w:lang w:val="en-US" w:eastAsia="zh-CN"/>
        </w:rPr>
      </w:pPr>
      <w:r>
        <w:rPr>
          <w:rFonts w:hint="default" w:ascii="Times New Roman" w:hAnsi="Times New Roman" w:eastAsia="楷体" w:cs="Times New Roman"/>
          <w:b/>
          <w:bCs/>
          <w:sz w:val="32"/>
          <w:szCs w:val="32"/>
        </w:rPr>
        <w:t>（一）通过完善日常管理机制，提升全职团队的专业性、学习力和使命感，为可持续发展奠定基础。</w:t>
      </w:r>
      <w:r>
        <w:rPr>
          <w:rFonts w:hint="default" w:ascii="Times New Roman" w:hAnsi="Times New Roman" w:eastAsia="仿宋_GB2312" w:cs="Times New Roman"/>
          <w:sz w:val="32"/>
          <w:szCs w:val="32"/>
          <w:lang w:val="en-US" w:eastAsia="zh-CN"/>
        </w:rPr>
        <w:t>完善组织文化的框架，更新价值观，明确基本原则、提倡及反对的行为。完善用人标准、部门职责和关键岗位说明书，优化基础薪酬体系，完善绩效评估与评优。完善基金会各项议事机制和会务规范。</w:t>
      </w:r>
    </w:p>
    <w:p>
      <w:pPr>
        <w:spacing w:line="579" w:lineRule="exact"/>
        <w:ind w:firstLine="643" w:firstLineChars="200"/>
        <w:jc w:val="left"/>
        <w:rPr>
          <w:rFonts w:hint="default" w:ascii="Times New Roman" w:hAnsi="Times New Roman" w:eastAsia="仿宋_GB2312" w:cs="Times New Roman"/>
          <w:sz w:val="32"/>
          <w:szCs w:val="32"/>
          <w:lang w:val="en-US" w:eastAsia="zh-CN"/>
        </w:rPr>
      </w:pPr>
      <w:r>
        <w:rPr>
          <w:rFonts w:hint="default" w:ascii="Times New Roman" w:hAnsi="Times New Roman" w:eastAsia="楷体" w:cs="Times New Roman"/>
          <w:b/>
          <w:bCs/>
          <w:sz w:val="32"/>
          <w:szCs w:val="32"/>
        </w:rPr>
        <w:t>（二）构建运营基础能力，建立统一的志愿者管理和服务体系，信息系统重构升级，完成档案管理体系化构建。</w:t>
      </w:r>
      <w:r>
        <w:rPr>
          <w:rFonts w:hint="default" w:ascii="Times New Roman" w:hAnsi="Times New Roman" w:eastAsia="仿宋_GB2312" w:cs="Times New Roman"/>
          <w:sz w:val="32"/>
          <w:szCs w:val="32"/>
          <w:lang w:val="en-US" w:eastAsia="zh-CN"/>
        </w:rPr>
        <w:t>建立统一的志愿者管理和服务体系（含志愿者服务精神的倡导）。完成信息系统重构升级，为形成底层数据能力打下基础。搭建文档管理框架体系，形成文档管理规范，完成2019、2020、2021年核心文档整理及备案。</w:t>
      </w:r>
    </w:p>
    <w:p>
      <w:pPr>
        <w:spacing w:line="579" w:lineRule="exact"/>
        <w:ind w:firstLine="643" w:firstLineChars="200"/>
        <w:jc w:val="left"/>
        <w:rPr>
          <w:rFonts w:hint="default" w:ascii="Times New Roman" w:hAnsi="Times New Roman" w:eastAsia="仿宋_GB2312" w:cs="Times New Roman"/>
          <w:sz w:val="32"/>
          <w:szCs w:val="32"/>
          <w:lang w:val="en-US" w:eastAsia="zh-CN"/>
        </w:rPr>
      </w:pPr>
      <w:r>
        <w:rPr>
          <w:rFonts w:hint="default" w:ascii="Times New Roman" w:hAnsi="Times New Roman" w:eastAsia="楷体" w:cs="Times New Roman"/>
          <w:b/>
          <w:bCs/>
          <w:sz w:val="32"/>
          <w:szCs w:val="32"/>
        </w:rPr>
        <w:t>（三）提炼有明确界定、明确成果的衡量指标和方法，实现项目产品化。</w:t>
      </w:r>
      <w:r>
        <w:rPr>
          <w:rFonts w:hint="default" w:ascii="Times New Roman" w:hAnsi="Times New Roman" w:eastAsia="仿宋_GB2312" w:cs="Times New Roman"/>
          <w:sz w:val="32"/>
          <w:szCs w:val="32"/>
          <w:lang w:val="en-US" w:eastAsia="zh-CN"/>
        </w:rPr>
        <w:t>建立项目管理制度。完成各项目体系专业化梳理和总结，实现产品化，按产品化要求执行项目。</w:t>
      </w:r>
    </w:p>
    <w:p>
      <w:pPr>
        <w:spacing w:line="579" w:lineRule="exact"/>
        <w:ind w:firstLine="643" w:firstLineChars="200"/>
        <w:jc w:val="left"/>
        <w:rPr>
          <w:rFonts w:hint="default" w:ascii="Times New Roman" w:hAnsi="Times New Roman" w:eastAsia="仿宋_GB2312" w:cs="Times New Roman"/>
          <w:sz w:val="32"/>
          <w:szCs w:val="32"/>
          <w:lang w:val="en-US" w:eastAsia="zh-CN"/>
        </w:rPr>
      </w:pPr>
      <w:r>
        <w:rPr>
          <w:rFonts w:hint="default" w:ascii="Times New Roman" w:hAnsi="Times New Roman" w:eastAsia="楷体" w:cs="Times New Roman"/>
          <w:b/>
          <w:bCs/>
          <w:sz w:val="32"/>
          <w:szCs w:val="32"/>
        </w:rPr>
        <w:t>（四）构建可持续、可积累、可复制的捐赠人服务体系。</w:t>
      </w:r>
      <w:r>
        <w:rPr>
          <w:rFonts w:hint="default" w:ascii="Times New Roman" w:hAnsi="Times New Roman" w:eastAsia="仿宋_GB2312" w:cs="Times New Roman"/>
          <w:sz w:val="32"/>
          <w:szCs w:val="32"/>
          <w:lang w:val="en-US" w:eastAsia="zh-CN"/>
        </w:rPr>
        <w:t>构建五星级捐赠圈层的维护体系并执行（总人数控制在100人）。构建其他捐赠人/企业的不同捐赠圈层维护体系，并形成维护方案，并执行。</w:t>
      </w:r>
    </w:p>
    <w:p>
      <w:pPr>
        <w:adjustRightInd w:val="0"/>
        <w:snapToGrid w:val="0"/>
        <w:spacing w:line="579" w:lineRule="exact"/>
        <w:ind w:firstLine="643" w:firstLineChars="200"/>
        <w:jc w:val="left"/>
        <w:rPr>
          <w:rFonts w:hint="default" w:ascii="Times New Roman" w:hAnsi="Times New Roman" w:eastAsia="仿宋_GB2312" w:cs="Times New Roman"/>
          <w:sz w:val="32"/>
          <w:szCs w:val="32"/>
          <w:lang w:val="en-US" w:eastAsia="zh-CN"/>
        </w:rPr>
      </w:pPr>
      <w:r>
        <w:rPr>
          <w:rFonts w:hint="default" w:ascii="Times New Roman" w:hAnsi="Times New Roman" w:eastAsia="楷体" w:cs="Times New Roman"/>
          <w:b/>
          <w:bCs/>
          <w:sz w:val="32"/>
          <w:szCs w:val="32"/>
        </w:rPr>
        <w:t>（五）组建研究团队，开展研究活动，初步形成“做适合乡村孩子教育”的理念体系。</w:t>
      </w:r>
      <w:r>
        <w:rPr>
          <w:rFonts w:hint="default" w:ascii="Times New Roman" w:hAnsi="Times New Roman" w:eastAsia="仿宋_GB2312" w:cs="Times New Roman"/>
          <w:sz w:val="32"/>
          <w:szCs w:val="32"/>
          <w:lang w:val="en-US" w:eastAsia="zh-CN"/>
        </w:rPr>
        <w:t>组建专业研究团队。开展“做适合乡村孩子的教育”调查研究，形成基本理念和框架。形成“做适合乡村孩子的教育”年度研究报告。</w:t>
      </w:r>
    </w:p>
    <w:p>
      <w:pPr>
        <w:adjustRightInd w:val="0"/>
        <w:snapToGrid w:val="0"/>
        <w:spacing w:line="579" w:lineRule="exact"/>
        <w:ind w:firstLine="640" w:firstLineChars="200"/>
        <w:jc w:val="left"/>
        <w:rPr>
          <w:rFonts w:hint="default" w:ascii="Times New Roman" w:hAnsi="Times New Roman" w:eastAsia="仿宋_GB2312" w:cs="Times New Roman"/>
          <w:sz w:val="32"/>
          <w:szCs w:val="32"/>
          <w:lang w:val="en-US" w:eastAsia="zh-CN"/>
        </w:rPr>
      </w:pPr>
    </w:p>
    <w:p>
      <w:pPr>
        <w:adjustRightInd w:val="0"/>
        <w:snapToGrid w:val="0"/>
        <w:spacing w:line="579" w:lineRule="exact"/>
        <w:ind w:firstLine="640" w:firstLineChars="200"/>
        <w:jc w:val="left"/>
        <w:rPr>
          <w:rFonts w:hint="default" w:ascii="Times New Roman" w:hAnsi="Times New Roman" w:eastAsia="仿宋_GB2312" w:cs="Times New Roman"/>
          <w:sz w:val="32"/>
          <w:szCs w:val="32"/>
          <w:lang w:val="en-US" w:eastAsia="zh-CN"/>
        </w:rPr>
      </w:pPr>
    </w:p>
    <w:p>
      <w:pPr>
        <w:adjustRightInd w:val="0"/>
        <w:snapToGrid w:val="0"/>
        <w:spacing w:line="579" w:lineRule="exact"/>
        <w:ind w:firstLine="640" w:firstLineChars="200"/>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湖南弘慧教育发展基金会</w:t>
      </w:r>
    </w:p>
    <w:p>
      <w:pPr>
        <w:adjustRightInd w:val="0"/>
        <w:snapToGrid w:val="0"/>
        <w:spacing w:line="579" w:lineRule="exact"/>
        <w:ind w:right="1165" w:rightChars="364" w:firstLine="640" w:firstLineChars="200"/>
        <w:jc w:val="righ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2021年4月16日</w:t>
      </w:r>
    </w:p>
    <w:p>
      <w:pPr>
        <w:jc w:val="right"/>
        <w:rPr>
          <w:rFonts w:hint="default" w:ascii="Times New Roman" w:hAnsi="Times New Roman" w:cs="Times New Roman"/>
        </w:rPr>
      </w:pPr>
    </w:p>
    <w:sectPr>
      <w:footerReference r:id="rId5" w:type="default"/>
      <w:pgSz w:w="11906" w:h="16838"/>
      <w:pgMar w:top="2098" w:right="1474" w:bottom="1984" w:left="1587" w:header="851" w:footer="992" w:gutter="0"/>
      <w:paperSrc/>
      <w:pgNumType w:fmt="numberInDash"/>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A9D0732-DA16-4E2E-A8CE-DC1AA3F74866}"/>
  </w:font>
  <w:font w:name="Arial">
    <w:panose1 w:val="020B0604020202020204"/>
    <w:charset w:val="01"/>
    <w:family w:val="swiss"/>
    <w:pitch w:val="default"/>
    <w:sig w:usb0="E0002EFF" w:usb1="C000785B" w:usb2="00000009" w:usb3="00000000" w:csb0="400001FF" w:csb1="FFFF0000"/>
    <w:embedRegular r:id="rId2" w:fontKey="{92F06472-8795-4EAA-A56A-034A74256439}"/>
  </w:font>
  <w:font w:name="黑体">
    <w:panose1 w:val="02010609060101010101"/>
    <w:charset w:val="86"/>
    <w:family w:val="auto"/>
    <w:pitch w:val="default"/>
    <w:sig w:usb0="800002BF" w:usb1="38CF7CFA" w:usb2="00000016" w:usb3="00000000" w:csb0="00040001" w:csb1="00000000"/>
    <w:embedRegular r:id="rId3" w:fontKey="{9657AB62-8CF3-44F5-B59C-2345F414CDF4}"/>
  </w:font>
  <w:font w:name="Courier New">
    <w:panose1 w:val="02070309020205020404"/>
    <w:charset w:val="01"/>
    <w:family w:val="modern"/>
    <w:pitch w:val="default"/>
    <w:sig w:usb0="E0002EFF" w:usb1="C0007843" w:usb2="00000009" w:usb3="00000000" w:csb0="400001FF" w:csb1="FFFF0000"/>
    <w:embedRegular r:id="rId4" w:fontKey="{73FD08F1-7AFE-4DBC-883E-8033A7E6A211}"/>
  </w:font>
  <w:font w:name="Symbol">
    <w:panose1 w:val="05050102010706020507"/>
    <w:charset w:val="02"/>
    <w:family w:val="roman"/>
    <w:pitch w:val="default"/>
    <w:sig w:usb0="00000000" w:usb1="00000000" w:usb2="00000000" w:usb3="00000000" w:csb0="80000000" w:csb1="00000000"/>
    <w:embedRegular r:id="rId5" w:fontKey="{AC049BCD-F2BC-4DE0-8A69-F0068B6A190F}"/>
  </w:font>
  <w:font w:name="Calibri">
    <w:panose1 w:val="020F0502020204030204"/>
    <w:charset w:val="00"/>
    <w:family w:val="swiss"/>
    <w:pitch w:val="default"/>
    <w:sig w:usb0="E4002EFF" w:usb1="C000247B" w:usb2="00000009" w:usb3="00000000" w:csb0="200001FF" w:csb1="00000000"/>
    <w:embedRegular r:id="rId6" w:fontKey="{94A2CC4C-0FD9-4BF4-B629-885D3F4A77D9}"/>
  </w:font>
  <w:font w:name="方正仿宋_GB2312">
    <w:panose1 w:val="02000000000000000000"/>
    <w:charset w:val="86"/>
    <w:family w:val="auto"/>
    <w:pitch w:val="default"/>
    <w:sig w:usb0="A00002BF" w:usb1="184F6CFA" w:usb2="00000012" w:usb3="00000000" w:csb0="00040001" w:csb1="00000000"/>
  </w:font>
  <w:font w:name="方正公文小标宋">
    <w:panose1 w:val="02000500000000000000"/>
    <w:charset w:val="86"/>
    <w:family w:val="auto"/>
    <w:pitch w:val="default"/>
    <w:sig w:usb0="A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embedRegular r:id="rId7" w:fontKey="{8C23B102-7D99-4827-8FB0-F7C5CD2DFEC4}"/>
  </w:font>
  <w:font w:name="楷体">
    <w:panose1 w:val="02010609060101010101"/>
    <w:charset w:val="86"/>
    <w:family w:val="modern"/>
    <w:pitch w:val="default"/>
    <w:sig w:usb0="800002BF" w:usb1="38CF7CFA" w:usb2="00000016" w:usb3="00000000" w:csb0="00040001" w:csb1="00000000"/>
    <w:embedRegular r:id="rId8" w:fontKey="{BF679183-167B-41C9-888E-137A2EBCAD1F}"/>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3"/>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mirrorMargin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BE7EDE"/>
    <w:rsid w:val="03D26FD0"/>
    <w:rsid w:val="17BE7EDE"/>
    <w:rsid w:val="188F1931"/>
    <w:rsid w:val="1A166655"/>
    <w:rsid w:val="1A945E39"/>
    <w:rsid w:val="33E83AF9"/>
    <w:rsid w:val="487F1CE5"/>
    <w:rsid w:val="48E65716"/>
    <w:rsid w:val="52072858"/>
    <w:rsid w:val="6D9A0EED"/>
    <w:rsid w:val="7E7E5B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79" w:lineRule="exact"/>
      <w:ind w:left="0" w:leftChars="0"/>
      <w:jc w:val="both"/>
    </w:pPr>
    <w:rPr>
      <w:rFonts w:ascii="Calibri" w:hAnsi="Calibri" w:eastAsia="方正仿宋_GB2312" w:cs="Calibri"/>
      <w:kern w:val="2"/>
      <w:sz w:val="32"/>
      <w:szCs w:val="21"/>
      <w:lang w:val="en-US" w:eastAsia="zh-CN" w:bidi="ar-SA"/>
    </w:rPr>
  </w:style>
  <w:style w:type="paragraph" w:styleId="2">
    <w:name w:val="heading 1"/>
    <w:basedOn w:val="1"/>
    <w:next w:val="1"/>
    <w:link w:val="8"/>
    <w:qFormat/>
    <w:uiPriority w:val="0"/>
    <w:pPr>
      <w:keepNext/>
      <w:keepLines/>
      <w:spacing w:line="579" w:lineRule="exact"/>
      <w:jc w:val="center"/>
      <w:outlineLvl w:val="0"/>
    </w:pPr>
    <w:rPr>
      <w:rFonts w:eastAsia="方正公文小标宋"/>
      <w:bCs/>
      <w:kern w:val="44"/>
      <w:sz w:val="44"/>
      <w:szCs w:val="44"/>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pPr>
      <w:jc w:val="left"/>
    </w:pPr>
    <w:rPr>
      <w:rFonts w:ascii="等线" w:hAnsi="等线"/>
      <w:bCs/>
      <w:caps/>
      <w:szCs w:val="20"/>
    </w:rPr>
  </w:style>
  <w:style w:type="character" w:customStyle="1" w:styleId="8">
    <w:name w:val="标题 1 Char"/>
    <w:link w:val="2"/>
    <w:qFormat/>
    <w:uiPriority w:val="9"/>
    <w:rPr>
      <w:rFonts w:ascii="Calibri" w:hAnsi="Calibri" w:eastAsia="方正公文小标宋" w:cs="Calibri"/>
      <w:bCs/>
      <w:kern w:val="44"/>
      <w:sz w:val="44"/>
      <w:szCs w:val="4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2021-04-16T02:49:00Z</dcterms:created>
  <dc:creator>刘贞</dc:creator>
  <cp:lastModifiedBy>刘贞</cp:lastModifiedBy>
  <dcterms:modified xsi:type="dcterms:W3CDTF">2021-04-16T02:52:03Z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C09AE626951F4206BE44D08F793AC521</vt:lpwstr>
  </property>
  <property fmtid="{D5CDD505-2E9C-101B-9397-08002B2CF9AE}" pid="4" name="KSOSaveFontToCloudKey">
    <vt:lpwstr>405115665_embed</vt:lpwstr>
  </property>
</Properties>
</file>